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E52A2" w14:textId="77777777" w:rsidR="008E588B" w:rsidRPr="004C1C2F" w:rsidRDefault="008E588B" w:rsidP="008E588B">
      <w:pPr>
        <w:pStyle w:val="NoSpacing"/>
        <w:rPr>
          <w:b/>
          <w:sz w:val="24"/>
          <w:szCs w:val="24"/>
        </w:rPr>
      </w:pPr>
      <w:r w:rsidRPr="004C1C2F">
        <w:rPr>
          <w:b/>
          <w:sz w:val="24"/>
          <w:szCs w:val="24"/>
        </w:rPr>
        <w:t xml:space="preserve">IMPORTANT QUOTES FROM THE UNITED STATES COURT OF APPEALS FOR THE FIRST CIRCUIT </w:t>
      </w:r>
    </w:p>
    <w:p w14:paraId="1384F6AF" w14:textId="77777777" w:rsidR="00B86078" w:rsidRPr="004C1C2F" w:rsidRDefault="008E588B" w:rsidP="008E588B">
      <w:pPr>
        <w:pStyle w:val="NoSpacing"/>
        <w:rPr>
          <w:b/>
          <w:sz w:val="24"/>
          <w:szCs w:val="24"/>
        </w:rPr>
      </w:pPr>
      <w:r w:rsidRPr="004C1C2F">
        <w:rPr>
          <w:b/>
          <w:sz w:val="24"/>
          <w:szCs w:val="24"/>
        </w:rPr>
        <w:t>UPPER BLACKSTONE WATER POLLUTION ABATEMENT DISTRICT V. EPA CASE 11-1474 08/03/2012</w:t>
      </w:r>
    </w:p>
    <w:p w14:paraId="6EF8455A" w14:textId="5070324B" w:rsidR="008E588B" w:rsidRPr="004C1C2F" w:rsidRDefault="008E588B" w:rsidP="008E588B">
      <w:pPr>
        <w:pStyle w:val="NoSpacing"/>
        <w:rPr>
          <w:sz w:val="24"/>
          <w:szCs w:val="24"/>
        </w:rPr>
      </w:pPr>
      <w:r w:rsidRPr="004C1C2F">
        <w:rPr>
          <w:sz w:val="24"/>
          <w:szCs w:val="24"/>
        </w:rPr>
        <w:t xml:space="preserve">(For full decision see: </w:t>
      </w:r>
      <w:hyperlink r:id="rId6" w:history="1">
        <w:r w:rsidR="00333A17" w:rsidRPr="00333A17">
          <w:rPr>
            <w:rStyle w:val="Hyperlink"/>
            <w:sz w:val="24"/>
            <w:szCs w:val="24"/>
          </w:rPr>
          <w:t>https://caselaw.findlaw.com/us-1st-circuit/1607991.html</w:t>
        </w:r>
      </w:hyperlink>
      <w:r w:rsidRPr="004C1C2F">
        <w:rPr>
          <w:sz w:val="24"/>
          <w:szCs w:val="24"/>
        </w:rPr>
        <w:t>)</w:t>
      </w:r>
    </w:p>
    <w:p w14:paraId="45898D39" w14:textId="77777777" w:rsidR="008E588B" w:rsidRPr="004C1C2F" w:rsidRDefault="008E588B" w:rsidP="008E588B">
      <w:pPr>
        <w:pStyle w:val="NoSpacing"/>
        <w:rPr>
          <w:sz w:val="24"/>
          <w:szCs w:val="24"/>
        </w:rPr>
      </w:pPr>
    </w:p>
    <w:p w14:paraId="48FBA38A" w14:textId="77777777" w:rsidR="004C1C2F" w:rsidRDefault="004C1C2F" w:rsidP="004C1C2F">
      <w:pPr>
        <w:pStyle w:val="NoSpacing"/>
        <w:rPr>
          <w:sz w:val="24"/>
          <w:szCs w:val="24"/>
        </w:rPr>
      </w:pPr>
      <w:r w:rsidRPr="004C1C2F">
        <w:rPr>
          <w:sz w:val="24"/>
          <w:szCs w:val="24"/>
        </w:rPr>
        <w:t>The District's responsibility for serious pollution problems in the important waterways of two states is clear, and its challenge to the 2008 permit has no merit.</w:t>
      </w:r>
      <w:r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 xml:space="preserve"> As the District has recognized, cost considerations may not be considered by the EPA in the setting of permit limits to assure compliance with state water quality standards.</w:t>
      </w:r>
    </w:p>
    <w:p w14:paraId="78BDCB2F" w14:textId="77777777" w:rsidR="004C1C2F" w:rsidRPr="004C1C2F" w:rsidRDefault="004C1C2F" w:rsidP="004C1C2F">
      <w:pPr>
        <w:pStyle w:val="NoSpacing"/>
        <w:rPr>
          <w:sz w:val="24"/>
          <w:szCs w:val="24"/>
        </w:rPr>
      </w:pPr>
      <w:bookmarkStart w:id="0" w:name="_GoBack"/>
      <w:bookmarkEnd w:id="0"/>
    </w:p>
    <w:p w14:paraId="2428B30D" w14:textId="77777777" w:rsidR="008E588B" w:rsidRDefault="004C1C2F" w:rsidP="004C1C2F">
      <w:pPr>
        <w:pStyle w:val="NoSpacing"/>
        <w:rPr>
          <w:sz w:val="24"/>
          <w:szCs w:val="24"/>
        </w:rPr>
      </w:pPr>
      <w:r w:rsidRPr="004C1C2F">
        <w:rPr>
          <w:sz w:val="24"/>
          <w:szCs w:val="24"/>
        </w:rPr>
        <w:t>We trust that the District, as well as the EPA, will now</w:t>
      </w:r>
      <w:r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>act with expedition to address these problems.</w:t>
      </w:r>
      <w:r>
        <w:rPr>
          <w:sz w:val="24"/>
          <w:szCs w:val="24"/>
        </w:rPr>
        <w:t xml:space="preserve">  </w:t>
      </w:r>
      <w:r w:rsidRPr="004C1C2F">
        <w:rPr>
          <w:sz w:val="24"/>
          <w:szCs w:val="24"/>
        </w:rPr>
        <w:t>The District and CLF's petitions are denied. The stay</w:t>
      </w:r>
      <w:r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>granted by this court on April 29, 2011, is lifted. No costs are</w:t>
      </w:r>
      <w:r>
        <w:rPr>
          <w:sz w:val="24"/>
          <w:szCs w:val="24"/>
        </w:rPr>
        <w:t xml:space="preserve"> </w:t>
      </w:r>
      <w:r w:rsidR="00670F57">
        <w:rPr>
          <w:sz w:val="24"/>
          <w:szCs w:val="24"/>
        </w:rPr>
        <w:t>a</w:t>
      </w:r>
      <w:r w:rsidRPr="004C1C2F">
        <w:rPr>
          <w:sz w:val="24"/>
          <w:szCs w:val="24"/>
        </w:rPr>
        <w:t>warded.</w:t>
      </w:r>
    </w:p>
    <w:p w14:paraId="4869BFA1" w14:textId="77777777" w:rsidR="004C1C2F" w:rsidRDefault="004C1C2F" w:rsidP="004C1C2F">
      <w:pPr>
        <w:pStyle w:val="NoSpacing"/>
        <w:rPr>
          <w:sz w:val="24"/>
          <w:szCs w:val="24"/>
        </w:rPr>
      </w:pPr>
    </w:p>
    <w:p w14:paraId="1BE96F63" w14:textId="77777777" w:rsidR="004C1C2F" w:rsidRDefault="004C1C2F" w:rsidP="004C1C2F">
      <w:pPr>
        <w:pStyle w:val="NoSpacing"/>
        <w:rPr>
          <w:sz w:val="24"/>
          <w:szCs w:val="24"/>
        </w:rPr>
      </w:pPr>
      <w:r w:rsidRPr="004C1C2F">
        <w:rPr>
          <w:sz w:val="24"/>
          <w:szCs w:val="24"/>
        </w:rPr>
        <w:t>The Supreme Court has held that the CWA grants the EPA</w:t>
      </w:r>
      <w:r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>authority to require in NPDES permits conditions which ensure</w:t>
      </w:r>
      <w:r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>compliance with the water quality requirements of downstream</w:t>
      </w:r>
      <w:r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>states.</w:t>
      </w:r>
    </w:p>
    <w:p w14:paraId="6562F205" w14:textId="77777777" w:rsidR="004C1C2F" w:rsidRDefault="004C1C2F" w:rsidP="004C1C2F">
      <w:pPr>
        <w:pStyle w:val="NoSpacing"/>
        <w:rPr>
          <w:sz w:val="24"/>
          <w:szCs w:val="24"/>
        </w:rPr>
      </w:pPr>
    </w:p>
    <w:p w14:paraId="1FEB877B" w14:textId="77777777" w:rsidR="004C1C2F" w:rsidRDefault="004C1C2F" w:rsidP="004C1C2F">
      <w:pPr>
        <w:pStyle w:val="NoSpacing"/>
        <w:rPr>
          <w:sz w:val="24"/>
          <w:szCs w:val="24"/>
        </w:rPr>
      </w:pPr>
      <w:r w:rsidRPr="004C1C2F">
        <w:rPr>
          <w:sz w:val="24"/>
          <w:szCs w:val="24"/>
        </w:rPr>
        <w:t>Because both Massachusetts and Rhode Island employ narrative water</w:t>
      </w:r>
      <w:r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>quality criteria for the relevant pollutants, the EPA translated</w:t>
      </w:r>
      <w:r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>these into numeric limits under its procedures set out in 40 C.F.R.</w:t>
      </w:r>
      <w:r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>§ 122.44(d)(1)(vi).</w:t>
      </w:r>
    </w:p>
    <w:p w14:paraId="29B92F1C" w14:textId="77777777" w:rsidR="004C1C2F" w:rsidRDefault="004C1C2F" w:rsidP="004C1C2F">
      <w:pPr>
        <w:pStyle w:val="NoSpacing"/>
        <w:rPr>
          <w:sz w:val="24"/>
          <w:szCs w:val="24"/>
        </w:rPr>
      </w:pPr>
    </w:p>
    <w:p w14:paraId="40510C34" w14:textId="77777777" w:rsidR="004C1C2F" w:rsidRDefault="004C1C2F" w:rsidP="004C1C2F">
      <w:pPr>
        <w:pStyle w:val="NoSpacing"/>
        <w:rPr>
          <w:sz w:val="24"/>
          <w:szCs w:val="24"/>
        </w:rPr>
      </w:pPr>
      <w:r w:rsidRPr="004C1C2F">
        <w:rPr>
          <w:sz w:val="24"/>
          <w:szCs w:val="24"/>
        </w:rPr>
        <w:t>The formulation of the 2008 permit's effluent limitations</w:t>
      </w:r>
      <w:r w:rsidR="0014728D"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>for the three chemical elements at issue</w:t>
      </w:r>
      <w:r w:rsidR="0014728D">
        <w:rPr>
          <w:sz w:val="24"/>
          <w:szCs w:val="24"/>
        </w:rPr>
        <w:t xml:space="preserve"> </w:t>
      </w:r>
      <w:r w:rsidR="0014728D">
        <w:rPr>
          <w:i/>
          <w:sz w:val="24"/>
          <w:szCs w:val="24"/>
        </w:rPr>
        <w:t>(nitrogen, phosphorus and aluminum)</w:t>
      </w:r>
      <w:r w:rsidRPr="004C1C2F">
        <w:rPr>
          <w:sz w:val="24"/>
          <w:szCs w:val="24"/>
        </w:rPr>
        <w:t xml:space="preserve"> required substantial</w:t>
      </w:r>
      <w:r w:rsidR="0014728D"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>scientific and technical expertise.</w:t>
      </w:r>
      <w:r w:rsidR="0014728D"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 xml:space="preserve"> Our review of the EPA's</w:t>
      </w:r>
      <w:r w:rsidR="0014728D"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 xml:space="preserve">decision is deferential. </w:t>
      </w:r>
      <w:r w:rsidR="0014728D"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>See 33 U.S.C. § 1369(b)(1)(F); City of</w:t>
      </w:r>
      <w:r w:rsidR="0014728D"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 xml:space="preserve">Pittsfield, Mass. v. EPA, 614 F.3d 7, 10 (1st Cir. 2010). </w:t>
      </w:r>
      <w:r w:rsidR="0014728D"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>Under</w:t>
      </w:r>
      <w:r w:rsidR="0014728D"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>the Administrative Procedure Act, we ask whether the EPA's actions</w:t>
      </w:r>
      <w:r w:rsidR="0014728D"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 xml:space="preserve">were </w:t>
      </w:r>
      <w:r w:rsidR="0014728D">
        <w:rPr>
          <w:sz w:val="24"/>
          <w:szCs w:val="24"/>
        </w:rPr>
        <w:t>“</w:t>
      </w:r>
      <w:r w:rsidRPr="004C1C2F">
        <w:rPr>
          <w:sz w:val="24"/>
          <w:szCs w:val="24"/>
        </w:rPr>
        <w:t>arbitrary, capricious, an abuse of discretion, or</w:t>
      </w:r>
      <w:r w:rsidR="0014728D"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>otherwise</w:t>
      </w:r>
      <w:r w:rsidR="0014728D"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>not in accordance with law." 5 U.S.C. § 706(2)(A).</w:t>
      </w:r>
      <w:r w:rsidR="0014728D">
        <w:rPr>
          <w:sz w:val="24"/>
          <w:szCs w:val="24"/>
        </w:rPr>
        <w:t xml:space="preserve">  </w:t>
      </w:r>
      <w:r w:rsidRPr="004C1C2F">
        <w:rPr>
          <w:sz w:val="24"/>
          <w:szCs w:val="24"/>
        </w:rPr>
        <w:t>We will not set aside those actions unless the agency</w:t>
      </w:r>
      <w:r w:rsidR="0014728D"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>"has relied on factors which Congress has not intended it to</w:t>
      </w:r>
      <w:r w:rsidR="0014728D"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>consider, entirely failed to consider an important aspect of the</w:t>
      </w:r>
      <w:r w:rsidR="0014728D"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>problem, offered an explanation for its decision that runs counter</w:t>
      </w:r>
      <w:r w:rsidR="0014728D"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>to the evidence before the agency, or is so implausible that it</w:t>
      </w:r>
      <w:r w:rsidR="0014728D"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>could not be ascribed to a difference in view or the product of</w:t>
      </w:r>
      <w:r w:rsidR="0014728D"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>agency expertise."</w:t>
      </w:r>
      <w:r w:rsidR="0014728D"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 xml:space="preserve"> Motor Vehicle Mfrs. </w:t>
      </w:r>
      <w:proofErr w:type="spellStart"/>
      <w:r w:rsidRPr="004C1C2F">
        <w:rPr>
          <w:sz w:val="24"/>
          <w:szCs w:val="24"/>
        </w:rPr>
        <w:t>Ass'n</w:t>
      </w:r>
      <w:proofErr w:type="spellEnd"/>
      <w:r w:rsidRPr="004C1C2F">
        <w:rPr>
          <w:sz w:val="24"/>
          <w:szCs w:val="24"/>
        </w:rPr>
        <w:t xml:space="preserve"> v. State Farm Mut.</w:t>
      </w:r>
      <w:r w:rsidR="0014728D"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 xml:space="preserve">Auto. Ins. Co., 463 U.S. 29, 43 (1983). </w:t>
      </w:r>
      <w:r w:rsidR="0014728D"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>We will "uphold a decision</w:t>
      </w:r>
      <w:r w:rsidR="0014728D"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>of less than ideal clarity" where it finds support in the record</w:t>
      </w:r>
      <w:r w:rsidR="0014728D">
        <w:rPr>
          <w:sz w:val="24"/>
          <w:szCs w:val="24"/>
        </w:rPr>
        <w:t xml:space="preserve"> </w:t>
      </w:r>
      <w:r w:rsidRPr="004C1C2F">
        <w:rPr>
          <w:sz w:val="24"/>
          <w:szCs w:val="24"/>
        </w:rPr>
        <w:t>and has a rational basis.</w:t>
      </w:r>
    </w:p>
    <w:p w14:paraId="004E083A" w14:textId="77777777" w:rsidR="0014728D" w:rsidRDefault="0014728D" w:rsidP="004C1C2F">
      <w:pPr>
        <w:pStyle w:val="NoSpacing"/>
        <w:rPr>
          <w:sz w:val="24"/>
          <w:szCs w:val="24"/>
        </w:rPr>
      </w:pPr>
    </w:p>
    <w:p w14:paraId="4C9E4AAC" w14:textId="77777777" w:rsidR="0014728D" w:rsidRDefault="0014728D" w:rsidP="0014728D">
      <w:pPr>
        <w:pStyle w:val="NoSpacing"/>
        <w:rPr>
          <w:sz w:val="24"/>
          <w:szCs w:val="24"/>
        </w:rPr>
      </w:pPr>
      <w:r w:rsidRPr="0014728D">
        <w:rPr>
          <w:sz w:val="24"/>
          <w:szCs w:val="24"/>
        </w:rPr>
        <w:t>A reviewing</w:t>
      </w:r>
      <w:r>
        <w:rPr>
          <w:sz w:val="24"/>
          <w:szCs w:val="24"/>
        </w:rPr>
        <w:t xml:space="preserve"> </w:t>
      </w:r>
      <w:r w:rsidRPr="0014728D">
        <w:rPr>
          <w:sz w:val="24"/>
          <w:szCs w:val="24"/>
        </w:rPr>
        <w:t>court must remember that [where the agency] is making predictions,</w:t>
      </w:r>
      <w:r>
        <w:rPr>
          <w:sz w:val="24"/>
          <w:szCs w:val="24"/>
        </w:rPr>
        <w:t xml:space="preserve"> </w:t>
      </w:r>
      <w:r w:rsidRPr="0014728D">
        <w:rPr>
          <w:sz w:val="24"/>
          <w:szCs w:val="24"/>
        </w:rPr>
        <w:t xml:space="preserve">within its </w:t>
      </w:r>
      <w:r>
        <w:rPr>
          <w:sz w:val="24"/>
          <w:szCs w:val="24"/>
        </w:rPr>
        <w:t>a</w:t>
      </w:r>
      <w:r w:rsidRPr="0014728D">
        <w:rPr>
          <w:sz w:val="24"/>
          <w:szCs w:val="24"/>
        </w:rPr>
        <w:t>rea of special expertise, at the frontiers of science</w:t>
      </w:r>
      <w:r>
        <w:rPr>
          <w:sz w:val="24"/>
          <w:szCs w:val="24"/>
        </w:rPr>
        <w:t xml:space="preserve"> </w:t>
      </w:r>
      <w:r w:rsidRPr="0014728D">
        <w:rPr>
          <w:sz w:val="24"/>
          <w:szCs w:val="24"/>
        </w:rPr>
        <w:t>. . . . as opposed to simple findings of fact, a reviewing court</w:t>
      </w:r>
      <w:r>
        <w:rPr>
          <w:sz w:val="24"/>
          <w:szCs w:val="24"/>
        </w:rPr>
        <w:t xml:space="preserve"> </w:t>
      </w:r>
      <w:r w:rsidRPr="0014728D">
        <w:rPr>
          <w:sz w:val="24"/>
          <w:szCs w:val="24"/>
        </w:rPr>
        <w:t>must generally be at its most deferential.</w:t>
      </w:r>
    </w:p>
    <w:p w14:paraId="6FA38BC3" w14:textId="77777777" w:rsidR="0014728D" w:rsidRDefault="0014728D" w:rsidP="0014728D">
      <w:pPr>
        <w:pStyle w:val="NoSpacing"/>
        <w:rPr>
          <w:sz w:val="24"/>
          <w:szCs w:val="24"/>
        </w:rPr>
      </w:pPr>
    </w:p>
    <w:p w14:paraId="7035B9EA" w14:textId="77777777" w:rsidR="0014728D" w:rsidRDefault="0014728D" w:rsidP="0014728D">
      <w:pPr>
        <w:pStyle w:val="NoSpacing"/>
        <w:rPr>
          <w:sz w:val="24"/>
          <w:szCs w:val="24"/>
        </w:rPr>
      </w:pPr>
      <w:r w:rsidRPr="0014728D">
        <w:rPr>
          <w:sz w:val="24"/>
          <w:szCs w:val="24"/>
        </w:rPr>
        <w:t>We give</w:t>
      </w:r>
      <w:r>
        <w:rPr>
          <w:sz w:val="24"/>
          <w:szCs w:val="24"/>
        </w:rPr>
        <w:t xml:space="preserve"> </w:t>
      </w:r>
      <w:r w:rsidRPr="0014728D">
        <w:rPr>
          <w:sz w:val="24"/>
          <w:szCs w:val="24"/>
        </w:rPr>
        <w:t>an extreme degree of deference to the agency when it is evaluating</w:t>
      </w:r>
      <w:r>
        <w:rPr>
          <w:sz w:val="24"/>
          <w:szCs w:val="24"/>
        </w:rPr>
        <w:t xml:space="preserve"> </w:t>
      </w:r>
      <w:r w:rsidRPr="0014728D">
        <w:rPr>
          <w:sz w:val="24"/>
          <w:szCs w:val="24"/>
        </w:rPr>
        <w:t>scientific data within its technical expertise.</w:t>
      </w:r>
    </w:p>
    <w:p w14:paraId="582A2C6F" w14:textId="77777777" w:rsidR="0014728D" w:rsidRDefault="0014728D" w:rsidP="0014728D">
      <w:pPr>
        <w:pStyle w:val="NoSpacing"/>
        <w:rPr>
          <w:sz w:val="24"/>
          <w:szCs w:val="24"/>
        </w:rPr>
      </w:pPr>
    </w:p>
    <w:p w14:paraId="64F783DA" w14:textId="77777777" w:rsidR="0014728D" w:rsidRDefault="0014728D" w:rsidP="0014728D">
      <w:pPr>
        <w:pStyle w:val="NoSpacing"/>
        <w:rPr>
          <w:sz w:val="24"/>
          <w:szCs w:val="24"/>
        </w:rPr>
      </w:pPr>
      <w:r w:rsidRPr="0014728D">
        <w:rPr>
          <w:sz w:val="24"/>
          <w:szCs w:val="24"/>
        </w:rPr>
        <w:t>We also defer to the EPA's reasonable interpretation of</w:t>
      </w:r>
      <w:r>
        <w:rPr>
          <w:sz w:val="24"/>
          <w:szCs w:val="24"/>
        </w:rPr>
        <w:t xml:space="preserve"> </w:t>
      </w:r>
      <w:r w:rsidRPr="0014728D">
        <w:rPr>
          <w:sz w:val="24"/>
          <w:szCs w:val="24"/>
        </w:rPr>
        <w:t xml:space="preserve">the CWA. Fed. Express Corp. v. </w:t>
      </w:r>
      <w:proofErr w:type="spellStart"/>
      <w:r w:rsidRPr="0014728D">
        <w:rPr>
          <w:sz w:val="24"/>
          <w:szCs w:val="24"/>
        </w:rPr>
        <w:t>Holowecki</w:t>
      </w:r>
      <w:proofErr w:type="spellEnd"/>
      <w:r w:rsidRPr="0014728D">
        <w:rPr>
          <w:sz w:val="24"/>
          <w:szCs w:val="24"/>
        </w:rPr>
        <w:t>, 552 U.S. 389, 397</w:t>
      </w:r>
      <w:r w:rsidR="00CC12DE">
        <w:rPr>
          <w:sz w:val="24"/>
          <w:szCs w:val="24"/>
        </w:rPr>
        <w:t xml:space="preserve"> </w:t>
      </w:r>
      <w:r w:rsidRPr="0014728D">
        <w:rPr>
          <w:sz w:val="24"/>
          <w:szCs w:val="24"/>
        </w:rPr>
        <w:t>(2008).</w:t>
      </w:r>
      <w:r w:rsidR="00CC12DE">
        <w:rPr>
          <w:sz w:val="24"/>
          <w:szCs w:val="24"/>
        </w:rPr>
        <w:t xml:space="preserve"> </w:t>
      </w:r>
      <w:r w:rsidRPr="0014728D">
        <w:rPr>
          <w:sz w:val="24"/>
          <w:szCs w:val="24"/>
        </w:rPr>
        <w:t xml:space="preserve"> This deference increases where the EPA interprets its own</w:t>
      </w:r>
      <w:r w:rsidR="00CC12DE">
        <w:rPr>
          <w:sz w:val="24"/>
          <w:szCs w:val="24"/>
        </w:rPr>
        <w:t xml:space="preserve"> </w:t>
      </w:r>
      <w:r w:rsidRPr="0014728D">
        <w:rPr>
          <w:sz w:val="24"/>
          <w:szCs w:val="24"/>
        </w:rPr>
        <w:lastRenderedPageBreak/>
        <w:t>regulations, Adams, 38 F.3d at 49; generally speaking, the agency's</w:t>
      </w:r>
      <w:r w:rsidR="00CC12DE">
        <w:rPr>
          <w:sz w:val="24"/>
          <w:szCs w:val="24"/>
        </w:rPr>
        <w:t xml:space="preserve"> </w:t>
      </w:r>
      <w:r w:rsidRPr="0014728D">
        <w:rPr>
          <w:sz w:val="24"/>
          <w:szCs w:val="24"/>
        </w:rPr>
        <w:t>interpretation will be "controlling unless 'plainly erroneous or</w:t>
      </w:r>
      <w:r w:rsidR="00CC12DE">
        <w:rPr>
          <w:sz w:val="24"/>
          <w:szCs w:val="24"/>
        </w:rPr>
        <w:t xml:space="preserve"> </w:t>
      </w:r>
      <w:r w:rsidRPr="0014728D">
        <w:rPr>
          <w:sz w:val="24"/>
          <w:szCs w:val="24"/>
        </w:rPr>
        <w:t>inconsistent with the regulation</w:t>
      </w:r>
      <w:r w:rsidR="00CC12DE">
        <w:rPr>
          <w:sz w:val="24"/>
          <w:szCs w:val="24"/>
        </w:rPr>
        <w:t>.</w:t>
      </w:r>
    </w:p>
    <w:p w14:paraId="068A20C2" w14:textId="77777777" w:rsidR="00CC12DE" w:rsidRDefault="00CC12DE" w:rsidP="0014728D">
      <w:pPr>
        <w:pStyle w:val="NoSpacing"/>
        <w:rPr>
          <w:sz w:val="24"/>
          <w:szCs w:val="24"/>
        </w:rPr>
      </w:pPr>
    </w:p>
    <w:p w14:paraId="7C176ECA" w14:textId="77777777" w:rsidR="00CC12DE" w:rsidRPr="00CC12DE" w:rsidRDefault="00CC12DE" w:rsidP="00CC12DE">
      <w:pPr>
        <w:pStyle w:val="NoSpacing"/>
        <w:rPr>
          <w:sz w:val="24"/>
          <w:szCs w:val="24"/>
        </w:rPr>
      </w:pPr>
      <w:r w:rsidRPr="00CC12DE">
        <w:rPr>
          <w:sz w:val="24"/>
          <w:szCs w:val="24"/>
        </w:rPr>
        <w:t>As to the District's computer model, neither the CWA nor</w:t>
      </w:r>
      <w:r>
        <w:rPr>
          <w:sz w:val="24"/>
          <w:szCs w:val="24"/>
        </w:rPr>
        <w:t xml:space="preserve"> </w:t>
      </w:r>
      <w:r w:rsidRPr="00CC12DE">
        <w:rPr>
          <w:sz w:val="24"/>
          <w:szCs w:val="24"/>
        </w:rPr>
        <w:t>EPA regulations permit the EPA to delay issuance of a new permit</w:t>
      </w:r>
      <w:r>
        <w:rPr>
          <w:sz w:val="24"/>
          <w:szCs w:val="24"/>
        </w:rPr>
        <w:t xml:space="preserve"> </w:t>
      </w:r>
      <w:r w:rsidRPr="00CC12DE">
        <w:rPr>
          <w:sz w:val="24"/>
          <w:szCs w:val="24"/>
        </w:rPr>
        <w:t>indefinitely until better science can be developed, even where</w:t>
      </w:r>
    </w:p>
    <w:p w14:paraId="2A02440E" w14:textId="77777777" w:rsidR="00CC12DE" w:rsidRDefault="00CC12DE" w:rsidP="00CC12DE">
      <w:pPr>
        <w:pStyle w:val="NoSpacing"/>
        <w:rPr>
          <w:sz w:val="24"/>
          <w:szCs w:val="24"/>
        </w:rPr>
      </w:pPr>
      <w:r w:rsidRPr="00CC12DE">
        <w:rPr>
          <w:sz w:val="24"/>
          <w:szCs w:val="24"/>
        </w:rPr>
        <w:t xml:space="preserve">there is some uncertainty in the existing data. </w:t>
      </w:r>
      <w:r>
        <w:rPr>
          <w:sz w:val="24"/>
          <w:szCs w:val="24"/>
        </w:rPr>
        <w:t xml:space="preserve"> </w:t>
      </w:r>
      <w:r w:rsidRPr="00CC12DE">
        <w:rPr>
          <w:sz w:val="24"/>
          <w:szCs w:val="24"/>
        </w:rPr>
        <w:t>The five-year term</w:t>
      </w:r>
      <w:r>
        <w:rPr>
          <w:sz w:val="24"/>
          <w:szCs w:val="24"/>
        </w:rPr>
        <w:t xml:space="preserve"> </w:t>
      </w:r>
      <w:r w:rsidRPr="00CC12DE">
        <w:rPr>
          <w:sz w:val="24"/>
          <w:szCs w:val="24"/>
        </w:rPr>
        <w:t>limit requires the EPA or state permitting authority to re-ensure</w:t>
      </w:r>
      <w:r>
        <w:rPr>
          <w:sz w:val="24"/>
          <w:szCs w:val="24"/>
        </w:rPr>
        <w:t xml:space="preserve"> </w:t>
      </w:r>
      <w:r w:rsidRPr="00CC12DE">
        <w:rPr>
          <w:sz w:val="24"/>
          <w:szCs w:val="24"/>
        </w:rPr>
        <w:t>compliance with the Act whenever a permit expires and is renewed.</w:t>
      </w:r>
    </w:p>
    <w:p w14:paraId="33F98C8D" w14:textId="77777777" w:rsidR="00CC12DE" w:rsidRDefault="00CC12DE" w:rsidP="00CC12DE">
      <w:pPr>
        <w:pStyle w:val="NoSpacing"/>
        <w:rPr>
          <w:sz w:val="24"/>
          <w:szCs w:val="24"/>
        </w:rPr>
      </w:pPr>
    </w:p>
    <w:p w14:paraId="0791D14C" w14:textId="77777777" w:rsidR="00CC12DE" w:rsidRPr="00CC12DE" w:rsidRDefault="00CC12DE" w:rsidP="00CC12DE">
      <w:pPr>
        <w:pStyle w:val="NoSpacing"/>
        <w:rPr>
          <w:sz w:val="24"/>
          <w:szCs w:val="24"/>
        </w:rPr>
      </w:pPr>
      <w:r w:rsidRPr="00CC12DE">
        <w:rPr>
          <w:sz w:val="24"/>
          <w:szCs w:val="24"/>
        </w:rPr>
        <w:t>The EPA's decision entailed not only an evaluation of the</w:t>
      </w:r>
      <w:r>
        <w:rPr>
          <w:sz w:val="24"/>
          <w:szCs w:val="24"/>
        </w:rPr>
        <w:t xml:space="preserve"> </w:t>
      </w:r>
      <w:r w:rsidRPr="00CC12DE">
        <w:rPr>
          <w:sz w:val="24"/>
          <w:szCs w:val="24"/>
        </w:rPr>
        <w:t>sufficiency of the available scientific record, but also a risk</w:t>
      </w:r>
      <w:r>
        <w:rPr>
          <w:sz w:val="24"/>
          <w:szCs w:val="24"/>
        </w:rPr>
        <w:t xml:space="preserve"> </w:t>
      </w:r>
      <w:r w:rsidRPr="00CC12DE">
        <w:rPr>
          <w:sz w:val="24"/>
          <w:szCs w:val="24"/>
        </w:rPr>
        <w:t xml:space="preserve">analysis of the consequences of waiting. </w:t>
      </w:r>
      <w:r>
        <w:rPr>
          <w:sz w:val="24"/>
          <w:szCs w:val="24"/>
        </w:rPr>
        <w:t xml:space="preserve"> </w:t>
      </w:r>
      <w:r w:rsidRPr="00CC12DE">
        <w:rPr>
          <w:sz w:val="24"/>
          <w:szCs w:val="24"/>
        </w:rPr>
        <w:t>Nitrogen-based cultural</w:t>
      </w:r>
    </w:p>
    <w:p w14:paraId="0016FC72" w14:textId="77777777" w:rsidR="00CC12DE" w:rsidRDefault="00CC12DE" w:rsidP="00CC12DE">
      <w:pPr>
        <w:pStyle w:val="NoSpacing"/>
        <w:rPr>
          <w:sz w:val="24"/>
          <w:szCs w:val="24"/>
        </w:rPr>
      </w:pPr>
      <w:r w:rsidRPr="00CC12DE">
        <w:rPr>
          <w:sz w:val="24"/>
          <w:szCs w:val="24"/>
        </w:rPr>
        <w:t>eutrophication becomes more difficult to address the longer it is</w:t>
      </w:r>
      <w:r>
        <w:rPr>
          <w:sz w:val="24"/>
          <w:szCs w:val="24"/>
        </w:rPr>
        <w:t xml:space="preserve"> </w:t>
      </w:r>
      <w:r w:rsidRPr="00CC12DE">
        <w:rPr>
          <w:sz w:val="24"/>
          <w:szCs w:val="24"/>
        </w:rPr>
        <w:t>left unchecked.</w:t>
      </w:r>
      <w:r>
        <w:rPr>
          <w:sz w:val="24"/>
          <w:szCs w:val="24"/>
        </w:rPr>
        <w:t xml:space="preserve"> </w:t>
      </w:r>
      <w:r w:rsidRPr="00CC12DE">
        <w:rPr>
          <w:sz w:val="24"/>
          <w:szCs w:val="24"/>
        </w:rPr>
        <w:t xml:space="preserve"> Nitrogen loadings accumulate and persist in water</w:t>
      </w:r>
      <w:r>
        <w:rPr>
          <w:sz w:val="24"/>
          <w:szCs w:val="24"/>
        </w:rPr>
        <w:t xml:space="preserve"> </w:t>
      </w:r>
      <w:r w:rsidRPr="00CC12DE">
        <w:rPr>
          <w:sz w:val="24"/>
          <w:szCs w:val="24"/>
        </w:rPr>
        <w:t>systems in a way that can exacerbate future water quality problems.</w:t>
      </w:r>
      <w:r>
        <w:rPr>
          <w:sz w:val="24"/>
          <w:szCs w:val="24"/>
        </w:rPr>
        <w:t xml:space="preserve">  </w:t>
      </w:r>
      <w:r w:rsidRPr="00CC12DE">
        <w:rPr>
          <w:sz w:val="24"/>
          <w:szCs w:val="24"/>
        </w:rPr>
        <w:t>The EPA found that both the severity of the existing water quality</w:t>
      </w:r>
      <w:r>
        <w:rPr>
          <w:sz w:val="24"/>
          <w:szCs w:val="24"/>
        </w:rPr>
        <w:t xml:space="preserve"> </w:t>
      </w:r>
      <w:r w:rsidRPr="00CC12DE">
        <w:rPr>
          <w:sz w:val="24"/>
          <w:szCs w:val="24"/>
        </w:rPr>
        <w:t>problems, and the potential for aggravated future problems,</w:t>
      </w:r>
      <w:r>
        <w:rPr>
          <w:sz w:val="24"/>
          <w:szCs w:val="24"/>
        </w:rPr>
        <w:t xml:space="preserve"> </w:t>
      </w:r>
      <w:r w:rsidRPr="00CC12DE">
        <w:rPr>
          <w:sz w:val="24"/>
          <w:szCs w:val="24"/>
        </w:rPr>
        <w:t>"counsel[ed] in favor of imposing a nitrogen limit . . . based on</w:t>
      </w:r>
      <w:r>
        <w:rPr>
          <w:sz w:val="24"/>
          <w:szCs w:val="24"/>
        </w:rPr>
        <w:t xml:space="preserve"> </w:t>
      </w:r>
      <w:r w:rsidRPr="00CC12DE">
        <w:rPr>
          <w:sz w:val="24"/>
          <w:szCs w:val="24"/>
        </w:rPr>
        <w:t>information currently available."</w:t>
      </w:r>
      <w:r>
        <w:rPr>
          <w:sz w:val="24"/>
          <w:szCs w:val="24"/>
        </w:rPr>
        <w:t xml:space="preserve"> </w:t>
      </w:r>
      <w:r w:rsidRPr="00CC12DE">
        <w:rPr>
          <w:sz w:val="24"/>
          <w:szCs w:val="24"/>
        </w:rPr>
        <w:t xml:space="preserve"> This type of risk assessment is</w:t>
      </w:r>
      <w:r>
        <w:rPr>
          <w:sz w:val="24"/>
          <w:szCs w:val="24"/>
        </w:rPr>
        <w:t xml:space="preserve"> </w:t>
      </w:r>
      <w:r w:rsidRPr="00CC12DE">
        <w:rPr>
          <w:sz w:val="24"/>
          <w:szCs w:val="24"/>
        </w:rPr>
        <w:t>within the EPA's policymaking discretion, and its judgment here is</w:t>
      </w:r>
      <w:r>
        <w:rPr>
          <w:sz w:val="24"/>
          <w:szCs w:val="24"/>
        </w:rPr>
        <w:t xml:space="preserve"> </w:t>
      </w:r>
      <w:r w:rsidRPr="00CC12DE">
        <w:rPr>
          <w:sz w:val="24"/>
          <w:szCs w:val="24"/>
        </w:rPr>
        <w:t>entitled to respect.</w:t>
      </w:r>
    </w:p>
    <w:p w14:paraId="0CDF5EDC" w14:textId="77777777" w:rsidR="00CC12DE" w:rsidRDefault="00CC12DE" w:rsidP="00CC12DE">
      <w:pPr>
        <w:pStyle w:val="NoSpacing"/>
        <w:rPr>
          <w:sz w:val="24"/>
          <w:szCs w:val="24"/>
        </w:rPr>
      </w:pPr>
    </w:p>
    <w:p w14:paraId="7046CF4C" w14:textId="77777777" w:rsidR="00E22390" w:rsidRPr="00E22390" w:rsidRDefault="00E22390" w:rsidP="00E22390">
      <w:pPr>
        <w:pStyle w:val="NoSpacing"/>
        <w:rPr>
          <w:sz w:val="24"/>
          <w:szCs w:val="24"/>
        </w:rPr>
      </w:pPr>
      <w:r w:rsidRPr="00E22390">
        <w:rPr>
          <w:sz w:val="24"/>
          <w:szCs w:val="24"/>
        </w:rPr>
        <w:t>In almost every case, more data can be collected, models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further calibrated to match real world conditions; the hope or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anticipation that better science will materialize is always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 xml:space="preserve">present, to </w:t>
      </w:r>
      <w:r w:rsidR="00670F57">
        <w:rPr>
          <w:sz w:val="24"/>
          <w:szCs w:val="24"/>
        </w:rPr>
        <w:t>s</w:t>
      </w:r>
      <w:r w:rsidRPr="00E22390">
        <w:rPr>
          <w:sz w:val="24"/>
          <w:szCs w:val="24"/>
        </w:rPr>
        <w:t>ome degree, in the context of science-based agency</w:t>
      </w:r>
      <w:r w:rsidR="00A91BF0">
        <w:rPr>
          <w:sz w:val="24"/>
          <w:szCs w:val="24"/>
        </w:rPr>
        <w:t xml:space="preserve"> </w:t>
      </w:r>
      <w:proofErr w:type="spellStart"/>
      <w:r w:rsidRPr="00E22390">
        <w:rPr>
          <w:sz w:val="24"/>
          <w:szCs w:val="24"/>
        </w:rPr>
        <w:t>decisionmaking</w:t>
      </w:r>
      <w:proofErr w:type="spellEnd"/>
      <w:r w:rsidRPr="00E22390">
        <w:rPr>
          <w:sz w:val="24"/>
          <w:szCs w:val="24"/>
        </w:rPr>
        <w:t>.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 xml:space="preserve"> Congress was aware of this when it nonetheless set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a firm deadline for issuing new permits.</w:t>
      </w:r>
      <w:r w:rsidR="00A91BF0">
        <w:rPr>
          <w:sz w:val="24"/>
          <w:szCs w:val="24"/>
        </w:rPr>
        <w:t xml:space="preserve">  </w:t>
      </w:r>
      <w:r w:rsidRPr="00E22390">
        <w:rPr>
          <w:sz w:val="24"/>
          <w:szCs w:val="24"/>
        </w:rPr>
        <w:t>As in many science-based policymaking contexts, under the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CWA the EPA is required to exercise its judgment even in the face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 xml:space="preserve">of some scientific uncertainty. 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The Supreme Court has recognized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 xml:space="preserve">this dimension of EPA </w:t>
      </w:r>
      <w:proofErr w:type="spellStart"/>
      <w:r w:rsidRPr="00E22390">
        <w:rPr>
          <w:sz w:val="24"/>
          <w:szCs w:val="24"/>
        </w:rPr>
        <w:t>decisionmaking</w:t>
      </w:r>
      <w:proofErr w:type="spellEnd"/>
      <w:r w:rsidRPr="00E22390">
        <w:rPr>
          <w:sz w:val="24"/>
          <w:szCs w:val="24"/>
        </w:rPr>
        <w:t xml:space="preserve"> in the context of the Clean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Air Act. In Massachusetts v. EPA, 549 U.S. 497 (2007), the Court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held that the EPA cannot "avoid its statutory obligation by noting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 xml:space="preserve">the [presence of] uncertainty." Id. at 534. 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If "scientific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uncertainty is so profound that it precludes EPA from making a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 xml:space="preserve">reasoned judgment . . . EPA must say so. 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That EPA would prefer not</w:t>
      </w:r>
    </w:p>
    <w:p w14:paraId="678B9900" w14:textId="77777777" w:rsidR="00A91BF0" w:rsidRDefault="00E22390" w:rsidP="00E22390">
      <w:pPr>
        <w:pStyle w:val="NoSpacing"/>
        <w:rPr>
          <w:sz w:val="24"/>
          <w:szCs w:val="24"/>
        </w:rPr>
      </w:pPr>
      <w:r w:rsidRPr="00E22390">
        <w:rPr>
          <w:sz w:val="24"/>
          <w:szCs w:val="24"/>
        </w:rPr>
        <w:t>to regulate greenhouse gases because of some residual uncertainty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. . . is irrelevant.</w:t>
      </w:r>
    </w:p>
    <w:p w14:paraId="71798F81" w14:textId="77777777" w:rsidR="00A91BF0" w:rsidRDefault="00A91BF0" w:rsidP="00E22390">
      <w:pPr>
        <w:pStyle w:val="NoSpacing"/>
        <w:rPr>
          <w:sz w:val="24"/>
          <w:szCs w:val="24"/>
        </w:rPr>
      </w:pPr>
    </w:p>
    <w:p w14:paraId="5F834764" w14:textId="77777777" w:rsidR="00E22390" w:rsidRPr="00E22390" w:rsidRDefault="00E22390" w:rsidP="00E22390">
      <w:pPr>
        <w:pStyle w:val="NoSpacing"/>
        <w:rPr>
          <w:sz w:val="24"/>
          <w:szCs w:val="24"/>
        </w:rPr>
      </w:pPr>
      <w:r w:rsidRPr="00E22390">
        <w:rPr>
          <w:sz w:val="24"/>
          <w:szCs w:val="24"/>
        </w:rPr>
        <w:t>The statutory question is whether sufficient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information exists to make an endangerment finding." Id.; see also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Miami-Dade County v. EPA, 529 F.3d 1049, 1065 (11th Cir. 2008)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(holding that the "EPA is compelled to exercise its judgment in the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face of scientific uncertainty unless that uncertainty is so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profound that it precludes any reasoned judgment"); Ethyl Corp.,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541 F.2d at 28 ("[R]</w:t>
      </w:r>
      <w:proofErr w:type="spellStart"/>
      <w:r w:rsidRPr="00E22390">
        <w:rPr>
          <w:sz w:val="24"/>
          <w:szCs w:val="24"/>
        </w:rPr>
        <w:t>ecognizing</w:t>
      </w:r>
      <w:proofErr w:type="spellEnd"/>
      <w:r w:rsidRPr="00E22390">
        <w:rPr>
          <w:sz w:val="24"/>
          <w:szCs w:val="24"/>
        </w:rPr>
        <w:t xml:space="preserve"> . . . the developing nature of [the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field] . . . . [t]he [EPA] Administrator may apply his expertise to</w:t>
      </w:r>
      <w:r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draw conclusions from suspected, but not completely substantiated,</w:t>
      </w:r>
    </w:p>
    <w:p w14:paraId="4A56A729" w14:textId="77777777" w:rsidR="00E22390" w:rsidRPr="00E22390" w:rsidRDefault="00E22390" w:rsidP="00E22390">
      <w:pPr>
        <w:pStyle w:val="NoSpacing"/>
        <w:rPr>
          <w:sz w:val="24"/>
          <w:szCs w:val="24"/>
        </w:rPr>
      </w:pPr>
      <w:r w:rsidRPr="00E22390">
        <w:rPr>
          <w:sz w:val="24"/>
          <w:szCs w:val="24"/>
        </w:rPr>
        <w:t>relationships between facts, from trends among facts, from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theoretical projections from imperfect data, from probative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preliminary data not yet certifiable as 'fact,' and the like.").</w:t>
      </w:r>
    </w:p>
    <w:p w14:paraId="7957B5F2" w14:textId="77777777" w:rsidR="00CC12DE" w:rsidRDefault="00E22390" w:rsidP="00E22390">
      <w:pPr>
        <w:pStyle w:val="NoSpacing"/>
        <w:rPr>
          <w:sz w:val="24"/>
          <w:szCs w:val="24"/>
        </w:rPr>
      </w:pPr>
      <w:r w:rsidRPr="00E22390">
        <w:rPr>
          <w:sz w:val="24"/>
          <w:szCs w:val="24"/>
        </w:rPr>
        <w:t>The EPA did not act irrationally here by issuing the permit in the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face of some scientific uncertainty.</w:t>
      </w:r>
    </w:p>
    <w:p w14:paraId="34EBEDE4" w14:textId="77777777" w:rsidR="00E22390" w:rsidRDefault="00E22390" w:rsidP="00E22390">
      <w:pPr>
        <w:pStyle w:val="NoSpacing"/>
        <w:rPr>
          <w:sz w:val="24"/>
          <w:szCs w:val="24"/>
        </w:rPr>
      </w:pPr>
    </w:p>
    <w:p w14:paraId="5A1209BC" w14:textId="77777777" w:rsidR="00A91BF0" w:rsidRDefault="00E22390" w:rsidP="00E22390">
      <w:pPr>
        <w:pStyle w:val="NoSpacing"/>
        <w:rPr>
          <w:sz w:val="24"/>
          <w:szCs w:val="24"/>
        </w:rPr>
      </w:pPr>
      <w:r w:rsidRPr="00E22390">
        <w:rPr>
          <w:sz w:val="24"/>
          <w:szCs w:val="24"/>
        </w:rPr>
        <w:t>Where the agency follows the proper procedures and acts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with a reasonable basis, both its choice of scientific data and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interpretation and application of that data to real world</w:t>
      </w:r>
      <w:r w:rsidR="00670F57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 xml:space="preserve">conditions </w:t>
      </w:r>
      <w:r w:rsidRPr="00E22390">
        <w:rPr>
          <w:sz w:val="24"/>
          <w:szCs w:val="24"/>
        </w:rPr>
        <w:lastRenderedPageBreak/>
        <w:t xml:space="preserve">are entitled to deference. Sur Contra La </w:t>
      </w:r>
      <w:proofErr w:type="spellStart"/>
      <w:r w:rsidRPr="00E22390">
        <w:rPr>
          <w:sz w:val="24"/>
          <w:szCs w:val="24"/>
        </w:rPr>
        <w:t>Contaminacion</w:t>
      </w:r>
      <w:proofErr w:type="spellEnd"/>
      <w:r w:rsidRPr="00E22390">
        <w:rPr>
          <w:sz w:val="24"/>
          <w:szCs w:val="24"/>
        </w:rPr>
        <w:t>,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202 F.3d at 448; P.R. Aqueduct &amp;</w:t>
      </w:r>
      <w:r w:rsidR="00670F57">
        <w:rPr>
          <w:sz w:val="24"/>
          <w:szCs w:val="24"/>
        </w:rPr>
        <w:t xml:space="preserve">  </w:t>
      </w:r>
      <w:r w:rsidRPr="00E22390">
        <w:rPr>
          <w:sz w:val="24"/>
          <w:szCs w:val="24"/>
        </w:rPr>
        <w:t>Sewer Auth., 35 F.3d at 604;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see also Coal. for Responsible Regulation, 2012 WL 2381955, at *7.</w:t>
      </w:r>
    </w:p>
    <w:p w14:paraId="010C5D33" w14:textId="77777777" w:rsidR="00A91BF0" w:rsidRDefault="00A91BF0" w:rsidP="00E22390">
      <w:pPr>
        <w:pStyle w:val="NoSpacing"/>
        <w:rPr>
          <w:sz w:val="24"/>
          <w:szCs w:val="24"/>
        </w:rPr>
      </w:pPr>
    </w:p>
    <w:p w14:paraId="52601038" w14:textId="77777777" w:rsidR="00E22390" w:rsidRDefault="00E22390" w:rsidP="00E22390">
      <w:pPr>
        <w:pStyle w:val="NoSpacing"/>
        <w:rPr>
          <w:sz w:val="24"/>
          <w:szCs w:val="24"/>
        </w:rPr>
      </w:pPr>
      <w:r w:rsidRPr="00E22390">
        <w:rPr>
          <w:sz w:val="24"/>
          <w:szCs w:val="24"/>
        </w:rPr>
        <w:t>Although the District singles out the EPA's reliance on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the MERL model, the EPA used many sources of information in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formulating the nitrogen limits, including both Massachusetts and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Rhode Island reports on nitrogen loadings in the Bay, water quality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studies evaluating nitrogen levels and response variables in the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Bay, and national nitrogen guidance.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 xml:space="preserve"> One significant source of information the EPA examined was Rhode Island's own in-state limits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for nitrogen discharge into the relevant waters.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 xml:space="preserve"> As noted above,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Rhode Island has imposed nitrogen limits equivalent to or stricter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than the District's 5.0 mg/L limit on similarly situated sewage</w:t>
      </w:r>
      <w:r w:rsidR="00A91BF0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treatment facilities discharging into the three rivers and the Bay.</w:t>
      </w:r>
    </w:p>
    <w:p w14:paraId="4A5B1201" w14:textId="77777777" w:rsidR="00E22390" w:rsidRDefault="00E22390" w:rsidP="00E22390">
      <w:pPr>
        <w:pStyle w:val="NoSpacing"/>
        <w:rPr>
          <w:sz w:val="24"/>
          <w:szCs w:val="24"/>
        </w:rPr>
      </w:pPr>
    </w:p>
    <w:p w14:paraId="22CE979E" w14:textId="77777777" w:rsidR="00E22390" w:rsidRPr="00E22390" w:rsidRDefault="00E22390" w:rsidP="00E22390">
      <w:pPr>
        <w:pStyle w:val="NoSpacing"/>
        <w:rPr>
          <w:sz w:val="24"/>
          <w:szCs w:val="24"/>
        </w:rPr>
      </w:pPr>
      <w:r w:rsidRPr="00E22390">
        <w:rPr>
          <w:sz w:val="24"/>
          <w:szCs w:val="24"/>
        </w:rPr>
        <w:t>The District's argument that the MERL model should have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been excluded from consideration entirely is without merit.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 xml:space="preserve"> The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EPA is not limited to models which perfectly replicate real world</w:t>
      </w:r>
    </w:p>
    <w:p w14:paraId="6A9B4769" w14:textId="77777777" w:rsidR="00E22390" w:rsidRPr="00E22390" w:rsidRDefault="00E22390" w:rsidP="00E22390">
      <w:pPr>
        <w:pStyle w:val="NoSpacing"/>
        <w:rPr>
          <w:sz w:val="24"/>
          <w:szCs w:val="24"/>
        </w:rPr>
      </w:pPr>
      <w:r w:rsidRPr="00E22390">
        <w:rPr>
          <w:sz w:val="24"/>
          <w:szCs w:val="24"/>
        </w:rPr>
        <w:t xml:space="preserve">conditions. 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A model does not have to precisely predict the actual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 xml:space="preserve">or an average future to </w:t>
      </w:r>
      <w:r w:rsidR="00E87093">
        <w:rPr>
          <w:sz w:val="24"/>
          <w:szCs w:val="24"/>
        </w:rPr>
        <w:t>in</w:t>
      </w:r>
      <w:r w:rsidRPr="00E22390">
        <w:rPr>
          <w:sz w:val="24"/>
          <w:szCs w:val="24"/>
        </w:rPr>
        <w:t>crease understanding of a particular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process or the role that different elements play in that process.</w:t>
      </w:r>
      <w:r w:rsidR="00E87093">
        <w:rPr>
          <w:sz w:val="24"/>
          <w:szCs w:val="24"/>
        </w:rPr>
        <w:t xml:space="preserve">  </w:t>
      </w:r>
      <w:r w:rsidRPr="00E22390">
        <w:rPr>
          <w:sz w:val="24"/>
          <w:szCs w:val="24"/>
        </w:rPr>
        <w:t>The District's objection that the MERL model does not predict the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level of nitrogen control needed misstates and misunderstands the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different roles that scientific models may play in informing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 xml:space="preserve">science-based decisions. 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Here, the EPA states, and the record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reflects, that the MERL model demonstrated the relationship between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 xml:space="preserve">nitrogen loading, dissolved oxygen, and chlorophyll </w:t>
      </w:r>
      <w:r w:rsidRPr="00E22390">
        <w:rPr>
          <w:i/>
          <w:iCs/>
          <w:sz w:val="24"/>
          <w:szCs w:val="24"/>
        </w:rPr>
        <w:t xml:space="preserve">a </w:t>
      </w:r>
      <w:r w:rsidRPr="00E22390">
        <w:rPr>
          <w:sz w:val="24"/>
          <w:szCs w:val="24"/>
        </w:rPr>
        <w:t>production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for a range of loading scenarios in a water environment similar to</w:t>
      </w:r>
    </w:p>
    <w:p w14:paraId="620F7E21" w14:textId="77777777" w:rsidR="00E22390" w:rsidRDefault="00E22390" w:rsidP="00E22390">
      <w:pPr>
        <w:pStyle w:val="NoSpacing"/>
        <w:rPr>
          <w:sz w:val="24"/>
          <w:szCs w:val="24"/>
        </w:rPr>
      </w:pPr>
      <w:r w:rsidRPr="00E22390">
        <w:rPr>
          <w:sz w:val="24"/>
          <w:szCs w:val="24"/>
        </w:rPr>
        <w:t>the Bay's.</w:t>
      </w:r>
    </w:p>
    <w:p w14:paraId="0766A2EA" w14:textId="77777777" w:rsidR="00E87093" w:rsidRPr="00E22390" w:rsidRDefault="00E87093" w:rsidP="00E22390">
      <w:pPr>
        <w:pStyle w:val="NoSpacing"/>
        <w:rPr>
          <w:sz w:val="24"/>
          <w:szCs w:val="24"/>
        </w:rPr>
      </w:pPr>
    </w:p>
    <w:p w14:paraId="0784A634" w14:textId="77777777" w:rsidR="00E22390" w:rsidRPr="00E22390" w:rsidRDefault="00E22390" w:rsidP="00E22390">
      <w:pPr>
        <w:pStyle w:val="NoSpacing"/>
        <w:rPr>
          <w:sz w:val="24"/>
          <w:szCs w:val="24"/>
        </w:rPr>
      </w:pPr>
      <w:r w:rsidRPr="00E22390">
        <w:rPr>
          <w:sz w:val="24"/>
          <w:szCs w:val="24"/>
        </w:rPr>
        <w:t>The EPA also followed the proper procedures for ensuring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that the model received scrutiny not only from the permittee, but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from the scientific community and the public.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 xml:space="preserve"> The EPA highlighted</w:t>
      </w:r>
    </w:p>
    <w:p w14:paraId="06E8DF67" w14:textId="77777777" w:rsidR="00E22390" w:rsidRDefault="00E22390" w:rsidP="00E22390">
      <w:pPr>
        <w:pStyle w:val="NoSpacing"/>
        <w:rPr>
          <w:sz w:val="24"/>
          <w:szCs w:val="24"/>
        </w:rPr>
      </w:pPr>
      <w:r w:rsidRPr="00E22390">
        <w:rPr>
          <w:sz w:val="24"/>
          <w:szCs w:val="24"/>
        </w:rPr>
        <w:t>the model's potential shortcomings in the draft permit documents it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published for public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comment.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 xml:space="preserve"> Numerous stakeholders,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organizations, and individuals submitted support for and criticism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of the model.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 xml:space="preserve"> In its detailed and extensive responses to these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comments, the EPA carefully reviewed and responded to each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criticism raised.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 xml:space="preserve"> The EAB further reviewed the EPA Region's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analysis of the model, and found no reason to fault that analysis.</w:t>
      </w:r>
    </w:p>
    <w:p w14:paraId="2ECF22F9" w14:textId="77777777" w:rsidR="00E22390" w:rsidRDefault="00E22390" w:rsidP="00E22390">
      <w:pPr>
        <w:pStyle w:val="NoSpacing"/>
        <w:rPr>
          <w:sz w:val="24"/>
          <w:szCs w:val="24"/>
        </w:rPr>
      </w:pPr>
    </w:p>
    <w:p w14:paraId="5B7D78E8" w14:textId="77777777" w:rsidR="00E22390" w:rsidRDefault="00E22390" w:rsidP="00E22390">
      <w:pPr>
        <w:pStyle w:val="NoSpacing"/>
        <w:rPr>
          <w:sz w:val="24"/>
          <w:szCs w:val="24"/>
        </w:rPr>
      </w:pPr>
      <w:r w:rsidRPr="00E22390">
        <w:rPr>
          <w:sz w:val="24"/>
          <w:szCs w:val="24"/>
        </w:rPr>
        <w:t>A]</w:t>
      </w:r>
      <w:proofErr w:type="spellStart"/>
      <w:r w:rsidRPr="00E22390">
        <w:rPr>
          <w:sz w:val="24"/>
          <w:szCs w:val="24"/>
        </w:rPr>
        <w:t>dmission</w:t>
      </w:r>
      <w:proofErr w:type="spellEnd"/>
      <w:r w:rsidRPr="00E22390">
        <w:rPr>
          <w:sz w:val="24"/>
          <w:szCs w:val="24"/>
        </w:rPr>
        <w:t xml:space="preserve"> of uncertainties where they exist," "public exposure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of the assumptions and data incorporated into the analysis," "the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acceptance and consideration of public comment," and, ultimately,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a decision that reflects the rule of reason, are the structural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features of reasoned, publicly accountable science-based agency</w:t>
      </w:r>
      <w:r w:rsidR="00E87093">
        <w:rPr>
          <w:sz w:val="24"/>
          <w:szCs w:val="24"/>
        </w:rPr>
        <w:t xml:space="preserve"> </w:t>
      </w:r>
      <w:proofErr w:type="spellStart"/>
      <w:r w:rsidRPr="00E22390">
        <w:rPr>
          <w:sz w:val="24"/>
          <w:szCs w:val="24"/>
        </w:rPr>
        <w:t>decisionmaking</w:t>
      </w:r>
      <w:proofErr w:type="spellEnd"/>
      <w:r w:rsidRPr="00E22390">
        <w:rPr>
          <w:sz w:val="24"/>
          <w:szCs w:val="24"/>
        </w:rPr>
        <w:t>.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 xml:space="preserve"> Sierra Club, 657 F.2d at 334 &amp; n.130; see also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 xml:space="preserve">Nat'l Mar. Safety </w:t>
      </w:r>
      <w:proofErr w:type="spellStart"/>
      <w:r w:rsidRPr="00E22390">
        <w:rPr>
          <w:sz w:val="24"/>
          <w:szCs w:val="24"/>
        </w:rPr>
        <w:t>Ass'n</w:t>
      </w:r>
      <w:proofErr w:type="spellEnd"/>
      <w:r w:rsidRPr="00E22390">
        <w:rPr>
          <w:sz w:val="24"/>
          <w:szCs w:val="24"/>
        </w:rPr>
        <w:t xml:space="preserve"> v. Occupational Safety &amp; Health Admin., 649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F.3d 743, 752 (D.C. Cir. 2011), cert. denied, 134 S. Ct. 1960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 xml:space="preserve">(2012). 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The EPA incorporated these structural safeguards into its</w:t>
      </w:r>
      <w:r w:rsidR="00E87093">
        <w:rPr>
          <w:sz w:val="24"/>
          <w:szCs w:val="24"/>
        </w:rPr>
        <w:t xml:space="preserve"> </w:t>
      </w:r>
      <w:proofErr w:type="spellStart"/>
      <w:r w:rsidRPr="00E22390">
        <w:rPr>
          <w:sz w:val="24"/>
          <w:szCs w:val="24"/>
        </w:rPr>
        <w:t>decisionmaking</w:t>
      </w:r>
      <w:proofErr w:type="spellEnd"/>
      <w:r w:rsidRPr="00E22390">
        <w:rPr>
          <w:sz w:val="24"/>
          <w:szCs w:val="24"/>
        </w:rPr>
        <w:t xml:space="preserve"> process.</w:t>
      </w:r>
      <w:r w:rsidR="00E87093">
        <w:rPr>
          <w:sz w:val="24"/>
          <w:szCs w:val="24"/>
        </w:rPr>
        <w:t xml:space="preserve">  </w:t>
      </w:r>
      <w:r w:rsidRPr="00E22390">
        <w:rPr>
          <w:sz w:val="24"/>
          <w:szCs w:val="24"/>
        </w:rPr>
        <w:t>The EPA's determination, based on its analysis of the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evidence before it as a whole, that a nitrogen limit of 5.0 mg/L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was necessary to achieve Rhode Island's water quality standards was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not a "hunch[] or wild guess[]" but a rational exercise of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judgment.</w:t>
      </w:r>
    </w:p>
    <w:p w14:paraId="77943CF0" w14:textId="77777777" w:rsidR="00E22390" w:rsidRDefault="00E22390" w:rsidP="00E22390">
      <w:pPr>
        <w:pStyle w:val="NoSpacing"/>
        <w:rPr>
          <w:sz w:val="24"/>
          <w:szCs w:val="24"/>
        </w:rPr>
      </w:pPr>
    </w:p>
    <w:p w14:paraId="0CF2A92B" w14:textId="77777777" w:rsidR="00E22390" w:rsidRDefault="00E22390" w:rsidP="00E22390">
      <w:pPr>
        <w:pStyle w:val="NoSpacing"/>
        <w:rPr>
          <w:sz w:val="24"/>
          <w:szCs w:val="24"/>
        </w:rPr>
      </w:pPr>
      <w:r w:rsidRPr="00E22390">
        <w:rPr>
          <w:sz w:val="24"/>
          <w:szCs w:val="24"/>
        </w:rPr>
        <w:t>The District's argument seems to go to the precision of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the permit's nitrogen limit.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 xml:space="preserve"> But where a complex administrative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statute, like those the EPA is charged with administering, requires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 xml:space="preserve">an </w:t>
      </w:r>
      <w:r w:rsidRPr="00E22390">
        <w:rPr>
          <w:sz w:val="24"/>
          <w:szCs w:val="24"/>
        </w:rPr>
        <w:lastRenderedPageBreak/>
        <w:t>agency to set a numerical standard, courts will not overturn the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agency's choice of a precise figure where it falls within a "zone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of reasonableness.</w:t>
      </w:r>
    </w:p>
    <w:p w14:paraId="54509257" w14:textId="77777777" w:rsidR="00E22390" w:rsidRDefault="00E22390" w:rsidP="00E22390">
      <w:pPr>
        <w:pStyle w:val="NoSpacing"/>
        <w:rPr>
          <w:sz w:val="24"/>
          <w:szCs w:val="24"/>
        </w:rPr>
      </w:pPr>
    </w:p>
    <w:p w14:paraId="320AE487" w14:textId="77777777" w:rsidR="00E22390" w:rsidRDefault="00E22390" w:rsidP="00E22390">
      <w:pPr>
        <w:pStyle w:val="NoSpacing"/>
        <w:rPr>
          <w:sz w:val="24"/>
          <w:szCs w:val="24"/>
        </w:rPr>
      </w:pPr>
      <w:r w:rsidRPr="00E22390">
        <w:rPr>
          <w:sz w:val="24"/>
          <w:szCs w:val="24"/>
        </w:rPr>
        <w:t>CLF's argument that the EPA should have interpreted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RIDEM's Report to require a 3.0 mg/L limit amounts to an attack on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the EPA's interpretation and application of the scientific data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 xml:space="preserve">before it to real world conditions. 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We give the EPA substantial</w:t>
      </w:r>
      <w:r w:rsidR="00E87093">
        <w:rPr>
          <w:sz w:val="24"/>
          <w:szCs w:val="24"/>
        </w:rPr>
        <w:t xml:space="preserve"> </w:t>
      </w:r>
      <w:r w:rsidRPr="00E22390">
        <w:rPr>
          <w:sz w:val="24"/>
          <w:szCs w:val="24"/>
        </w:rPr>
        <w:t>deference in this area.</w:t>
      </w:r>
    </w:p>
    <w:p w14:paraId="66EDEF79" w14:textId="77777777" w:rsidR="00E1416E" w:rsidRDefault="00E1416E" w:rsidP="00E22390">
      <w:pPr>
        <w:pStyle w:val="NoSpacing"/>
        <w:rPr>
          <w:sz w:val="24"/>
          <w:szCs w:val="24"/>
        </w:rPr>
      </w:pPr>
    </w:p>
    <w:p w14:paraId="5108EC64" w14:textId="77777777" w:rsidR="00E1416E" w:rsidRPr="00E1416E" w:rsidRDefault="00E1416E" w:rsidP="00E1416E">
      <w:pPr>
        <w:pStyle w:val="NoSpacing"/>
        <w:rPr>
          <w:sz w:val="24"/>
          <w:szCs w:val="24"/>
        </w:rPr>
      </w:pPr>
      <w:r w:rsidRPr="00E1416E">
        <w:rPr>
          <w:sz w:val="24"/>
          <w:szCs w:val="24"/>
        </w:rPr>
        <w:t>The EPA did not act irrationally by considering its</w:t>
      </w:r>
      <w:r w:rsidR="00E87093">
        <w:rPr>
          <w:sz w:val="24"/>
          <w:szCs w:val="24"/>
        </w:rPr>
        <w:t xml:space="preserve"> </w:t>
      </w:r>
      <w:r w:rsidRPr="00E1416E">
        <w:rPr>
          <w:sz w:val="24"/>
          <w:szCs w:val="24"/>
        </w:rPr>
        <w:t>national and regional phosphorus guidance criteria in addition to</w:t>
      </w:r>
      <w:r w:rsidR="00E87093">
        <w:rPr>
          <w:sz w:val="24"/>
          <w:szCs w:val="24"/>
        </w:rPr>
        <w:t xml:space="preserve"> </w:t>
      </w:r>
      <w:r w:rsidRPr="00E1416E">
        <w:rPr>
          <w:sz w:val="24"/>
          <w:szCs w:val="24"/>
        </w:rPr>
        <w:t xml:space="preserve">site-specific data. </w:t>
      </w:r>
      <w:r w:rsidR="00E87093">
        <w:rPr>
          <w:sz w:val="24"/>
          <w:szCs w:val="24"/>
        </w:rPr>
        <w:t xml:space="preserve"> </w:t>
      </w:r>
      <w:r w:rsidRPr="00E1416E">
        <w:rPr>
          <w:sz w:val="24"/>
          <w:szCs w:val="24"/>
        </w:rPr>
        <w:t>The guidance documents helped inform the EPA's</w:t>
      </w:r>
    </w:p>
    <w:p w14:paraId="5E61A6B2" w14:textId="77777777" w:rsidR="00E1416E" w:rsidRDefault="00E1416E" w:rsidP="00E1416E">
      <w:pPr>
        <w:pStyle w:val="NoSpacing"/>
        <w:rPr>
          <w:sz w:val="24"/>
          <w:szCs w:val="24"/>
        </w:rPr>
      </w:pPr>
      <w:r w:rsidRPr="00E1416E">
        <w:rPr>
          <w:sz w:val="24"/>
          <w:szCs w:val="24"/>
        </w:rPr>
        <w:t>background understanding of phosphorus-driven eutrophication and</w:t>
      </w:r>
      <w:r w:rsidR="00E87093">
        <w:rPr>
          <w:sz w:val="24"/>
          <w:szCs w:val="24"/>
        </w:rPr>
        <w:t xml:space="preserve"> </w:t>
      </w:r>
      <w:r w:rsidRPr="00E1416E">
        <w:rPr>
          <w:sz w:val="24"/>
          <w:szCs w:val="24"/>
        </w:rPr>
        <w:t>recommended "a range of ambient phosphorus concentrations that</w:t>
      </w:r>
      <w:r w:rsidR="00E87093">
        <w:rPr>
          <w:sz w:val="24"/>
          <w:szCs w:val="24"/>
        </w:rPr>
        <w:t xml:space="preserve"> </w:t>
      </w:r>
      <w:r w:rsidRPr="00E1416E">
        <w:rPr>
          <w:sz w:val="24"/>
          <w:szCs w:val="24"/>
        </w:rPr>
        <w:t>[would be] sufficiently low to prevent cultural eutrophication" in</w:t>
      </w:r>
      <w:r w:rsidR="00E87093">
        <w:rPr>
          <w:sz w:val="24"/>
          <w:szCs w:val="24"/>
        </w:rPr>
        <w:t xml:space="preserve"> </w:t>
      </w:r>
      <w:r w:rsidRPr="00E1416E">
        <w:rPr>
          <w:sz w:val="24"/>
          <w:szCs w:val="24"/>
        </w:rPr>
        <w:t>river systems similar to the Blackstone. See 40 C.F.R.</w:t>
      </w:r>
      <w:r w:rsidR="00E87093">
        <w:rPr>
          <w:sz w:val="24"/>
          <w:szCs w:val="24"/>
        </w:rPr>
        <w:t xml:space="preserve"> </w:t>
      </w:r>
      <w:r w:rsidRPr="00E1416E">
        <w:rPr>
          <w:sz w:val="24"/>
          <w:szCs w:val="24"/>
        </w:rPr>
        <w:t>§ 122.44(d)(1)(vi).</w:t>
      </w:r>
    </w:p>
    <w:p w14:paraId="6344E9DB" w14:textId="77777777" w:rsidR="00E1416E" w:rsidRDefault="00E1416E" w:rsidP="00E1416E">
      <w:pPr>
        <w:pStyle w:val="NoSpacing"/>
        <w:rPr>
          <w:sz w:val="24"/>
          <w:szCs w:val="24"/>
        </w:rPr>
      </w:pPr>
    </w:p>
    <w:p w14:paraId="65CC65AD" w14:textId="77777777" w:rsidR="00E1416E" w:rsidRDefault="00E1416E" w:rsidP="00E1416E">
      <w:pPr>
        <w:pStyle w:val="NoSpacing"/>
        <w:rPr>
          <w:sz w:val="24"/>
          <w:szCs w:val="24"/>
        </w:rPr>
      </w:pPr>
      <w:r w:rsidRPr="00E1416E">
        <w:rPr>
          <w:sz w:val="24"/>
          <w:szCs w:val="24"/>
        </w:rPr>
        <w:t>EPA regulations require permitting authorities to include</w:t>
      </w:r>
      <w:r w:rsidR="00E87093">
        <w:rPr>
          <w:sz w:val="24"/>
          <w:szCs w:val="24"/>
        </w:rPr>
        <w:t xml:space="preserve"> </w:t>
      </w:r>
      <w:r w:rsidRPr="00E1416E">
        <w:rPr>
          <w:sz w:val="24"/>
          <w:szCs w:val="24"/>
        </w:rPr>
        <w:t>in NPDES permits conditions which "control all pollutants or</w:t>
      </w:r>
      <w:r w:rsidR="00E87093">
        <w:rPr>
          <w:sz w:val="24"/>
          <w:szCs w:val="24"/>
        </w:rPr>
        <w:t xml:space="preserve"> </w:t>
      </w:r>
      <w:r w:rsidRPr="00E1416E">
        <w:rPr>
          <w:sz w:val="24"/>
          <w:szCs w:val="24"/>
        </w:rPr>
        <w:t>pollutant parameters . . . [that] are or may be discharged at a</w:t>
      </w:r>
      <w:r w:rsidR="00E87093">
        <w:rPr>
          <w:sz w:val="24"/>
          <w:szCs w:val="24"/>
        </w:rPr>
        <w:t xml:space="preserve"> </w:t>
      </w:r>
      <w:r w:rsidRPr="00E1416E">
        <w:rPr>
          <w:sz w:val="24"/>
          <w:szCs w:val="24"/>
        </w:rPr>
        <w:t>level which will cause, have the reasonable potential to cause, or</w:t>
      </w:r>
      <w:r w:rsidR="00E87093">
        <w:rPr>
          <w:sz w:val="24"/>
          <w:szCs w:val="24"/>
        </w:rPr>
        <w:t xml:space="preserve"> </w:t>
      </w:r>
      <w:r w:rsidRPr="00E1416E">
        <w:rPr>
          <w:sz w:val="24"/>
          <w:szCs w:val="24"/>
        </w:rPr>
        <w:t>contribute to an excursion above any State water quality standard,</w:t>
      </w:r>
      <w:r w:rsidR="00E87093">
        <w:rPr>
          <w:sz w:val="24"/>
          <w:szCs w:val="24"/>
        </w:rPr>
        <w:t xml:space="preserve"> </w:t>
      </w:r>
      <w:r w:rsidRPr="00E1416E">
        <w:rPr>
          <w:sz w:val="24"/>
          <w:szCs w:val="24"/>
        </w:rPr>
        <w:t>including State narrative criteria for water quality."</w:t>
      </w:r>
      <w:r w:rsidR="00E87093">
        <w:rPr>
          <w:sz w:val="24"/>
          <w:szCs w:val="24"/>
        </w:rPr>
        <w:t xml:space="preserve"> </w:t>
      </w:r>
      <w:r w:rsidRPr="00E1416E">
        <w:rPr>
          <w:sz w:val="24"/>
          <w:szCs w:val="24"/>
        </w:rPr>
        <w:t xml:space="preserve"> 40 C.F.R.</w:t>
      </w:r>
      <w:r>
        <w:rPr>
          <w:sz w:val="24"/>
          <w:szCs w:val="24"/>
        </w:rPr>
        <w:t xml:space="preserve">  </w:t>
      </w:r>
      <w:r w:rsidRPr="00E1416E">
        <w:rPr>
          <w:sz w:val="24"/>
          <w:szCs w:val="24"/>
        </w:rPr>
        <w:t>§ 122.44(d)(1)(</w:t>
      </w:r>
      <w:proofErr w:type="spellStart"/>
      <w:r w:rsidRPr="00E1416E">
        <w:rPr>
          <w:sz w:val="24"/>
          <w:szCs w:val="24"/>
        </w:rPr>
        <w:t>i</w:t>
      </w:r>
      <w:proofErr w:type="spellEnd"/>
      <w:r w:rsidRPr="00E1416E">
        <w:rPr>
          <w:sz w:val="24"/>
          <w:szCs w:val="24"/>
        </w:rPr>
        <w:t>); see also 54 Fed. Reg. 23,868, 23,873 (June 2,</w:t>
      </w:r>
      <w:r w:rsidR="00E87093">
        <w:rPr>
          <w:sz w:val="24"/>
          <w:szCs w:val="24"/>
        </w:rPr>
        <w:t xml:space="preserve"> </w:t>
      </w:r>
      <w:r w:rsidRPr="00E1416E">
        <w:rPr>
          <w:sz w:val="24"/>
          <w:szCs w:val="24"/>
        </w:rPr>
        <w:t>1989).</w:t>
      </w:r>
      <w:r w:rsidR="00E87093">
        <w:rPr>
          <w:sz w:val="24"/>
          <w:szCs w:val="24"/>
        </w:rPr>
        <w:t xml:space="preserve"> </w:t>
      </w:r>
      <w:r w:rsidRPr="00E1416E">
        <w:rPr>
          <w:sz w:val="24"/>
          <w:szCs w:val="24"/>
        </w:rPr>
        <w:t xml:space="preserve"> We thus reject the notion that in order to strengthen the</w:t>
      </w:r>
      <w:r w:rsidR="00E87093">
        <w:rPr>
          <w:sz w:val="24"/>
          <w:szCs w:val="24"/>
        </w:rPr>
        <w:t xml:space="preserve"> </w:t>
      </w:r>
      <w:r w:rsidRPr="00E1416E">
        <w:rPr>
          <w:sz w:val="24"/>
          <w:szCs w:val="24"/>
        </w:rPr>
        <w:t>District's discharge limits, the EPA must show that the new limits,</w:t>
      </w:r>
      <w:r w:rsidR="00E87093">
        <w:rPr>
          <w:sz w:val="24"/>
          <w:szCs w:val="24"/>
        </w:rPr>
        <w:t xml:space="preserve"> </w:t>
      </w:r>
      <w:r w:rsidRPr="00E1416E">
        <w:rPr>
          <w:sz w:val="24"/>
          <w:szCs w:val="24"/>
        </w:rPr>
        <w:t>in and of themselves, will cure any water quality problems.</w:t>
      </w:r>
    </w:p>
    <w:p w14:paraId="6D6585FF" w14:textId="77777777" w:rsidR="00E1416E" w:rsidRDefault="00E1416E" w:rsidP="00E1416E">
      <w:pPr>
        <w:pStyle w:val="NoSpacing"/>
        <w:rPr>
          <w:sz w:val="24"/>
          <w:szCs w:val="24"/>
        </w:rPr>
      </w:pPr>
    </w:p>
    <w:p w14:paraId="6AD273E8" w14:textId="77777777" w:rsidR="00E1416E" w:rsidRPr="004C1C2F" w:rsidRDefault="00E1416E" w:rsidP="00E1416E">
      <w:pPr>
        <w:pStyle w:val="NoSpacing"/>
        <w:rPr>
          <w:sz w:val="24"/>
          <w:szCs w:val="24"/>
        </w:rPr>
      </w:pPr>
    </w:p>
    <w:sectPr w:rsidR="00E1416E" w:rsidRPr="004C1C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533ED" w14:textId="77777777" w:rsidR="00CB527B" w:rsidRDefault="00CB527B" w:rsidP="00670F57">
      <w:pPr>
        <w:spacing w:after="0" w:line="240" w:lineRule="auto"/>
      </w:pPr>
      <w:r>
        <w:separator/>
      </w:r>
    </w:p>
  </w:endnote>
  <w:endnote w:type="continuationSeparator" w:id="0">
    <w:p w14:paraId="1B444E1E" w14:textId="77777777" w:rsidR="00CB527B" w:rsidRDefault="00CB527B" w:rsidP="0067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2004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7AF5E" w14:textId="77777777" w:rsidR="00670F57" w:rsidRDefault="00670F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8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AF6A90" w14:textId="77777777" w:rsidR="00670F57" w:rsidRDefault="00670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8AA05" w14:textId="77777777" w:rsidR="00CB527B" w:rsidRDefault="00CB527B" w:rsidP="00670F57">
      <w:pPr>
        <w:spacing w:after="0" w:line="240" w:lineRule="auto"/>
      </w:pPr>
      <w:r>
        <w:separator/>
      </w:r>
    </w:p>
  </w:footnote>
  <w:footnote w:type="continuationSeparator" w:id="0">
    <w:p w14:paraId="579C9662" w14:textId="77777777" w:rsidR="00CB527B" w:rsidRDefault="00CB527B" w:rsidP="00670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88B"/>
    <w:rsid w:val="0014728D"/>
    <w:rsid w:val="00230835"/>
    <w:rsid w:val="00333A17"/>
    <w:rsid w:val="004C1C2F"/>
    <w:rsid w:val="00576288"/>
    <w:rsid w:val="0062118D"/>
    <w:rsid w:val="00670F57"/>
    <w:rsid w:val="008E588B"/>
    <w:rsid w:val="00A91BF0"/>
    <w:rsid w:val="00AB6AD8"/>
    <w:rsid w:val="00B86078"/>
    <w:rsid w:val="00CB527B"/>
    <w:rsid w:val="00CC12DE"/>
    <w:rsid w:val="00E1416E"/>
    <w:rsid w:val="00E22390"/>
    <w:rsid w:val="00E87093"/>
    <w:rsid w:val="00E95CA5"/>
    <w:rsid w:val="00F5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7F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8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58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57"/>
  </w:style>
  <w:style w:type="paragraph" w:styleId="Footer">
    <w:name w:val="footer"/>
    <w:basedOn w:val="Normal"/>
    <w:link w:val="FooterChar"/>
    <w:uiPriority w:val="99"/>
    <w:unhideWhenUsed/>
    <w:rsid w:val="00670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57"/>
  </w:style>
  <w:style w:type="character" w:styleId="FollowedHyperlink">
    <w:name w:val="FollowedHyperlink"/>
    <w:basedOn w:val="DefaultParagraphFont"/>
    <w:uiPriority w:val="99"/>
    <w:semiHidden/>
    <w:unhideWhenUsed/>
    <w:rsid w:val="00670F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8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33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selaw.findlaw.com/us-1st-circuit/160799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2014-11-26T15:14:00Z</dcterms:created>
  <dcterms:modified xsi:type="dcterms:W3CDTF">2019-11-11T13:39:00Z</dcterms:modified>
</cp:coreProperties>
</file>